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8255" b="0"/>
            <wp:wrapTight wrapText="bothSides">
              <wp:wrapPolygon edited="false">
                <wp:start x="2733" y="975"/>
                <wp:lineTo x="1093" y="3901"/>
                <wp:lineTo x="364" y="6339"/>
                <wp:lineTo x="364" y="15603"/>
                <wp:lineTo x="911" y="17553"/>
                <wp:lineTo x="2368" y="17553"/>
                <wp:lineTo x="2915" y="19503"/>
                <wp:lineTo x="3826" y="19503"/>
                <wp:lineTo x="4372" y="17553"/>
                <wp:lineTo x="21497" y="17553"/>
                <wp:lineTo x="21497" y="13165"/>
                <wp:lineTo x="17307" y="9752"/>
                <wp:lineTo x="20586" y="7314"/>
                <wp:lineTo x="19675" y="3413"/>
                <wp:lineTo x="3826" y="975"/>
                <wp:lineTo x="2733" y="975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 w:eastAsia="ru-RU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__________________ shahar/viloyati _______________ tumani 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___________-maktabning </w:t>
      </w:r>
      <w:r>
        <w:rPr>
          <w:rFonts w:ascii="Times New Roman" w:cs="Times New Roman" w:hAnsi="Times New Roman"/>
          <w:sz w:val="28"/>
          <w:szCs w:val="28"/>
          <w:lang w:val="en-US"/>
        </w:rPr>
        <w:t>____</w:t>
      </w:r>
      <w:r>
        <w:rPr>
          <w:rFonts w:ascii="Times New Roman" w:cs="Times New Roman" w:hAnsi="Times New Roman"/>
          <w:sz w:val="28"/>
          <w:szCs w:val="28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11-SINF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ZBEKISTON TARIXI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FANIDAN YAKUNIY DAVLAT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IMTIHON SAVOLLARI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.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-variant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Osiyoning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Rossiya </w:t>
      </w:r>
      <w:r>
        <w:rPr>
          <w:rFonts w:ascii="Times New Roman" w:cs="Times New Roman" w:hAnsi="Times New Roman"/>
          <w:sz w:val="28"/>
          <w:szCs w:val="28"/>
          <w:lang w:val="en-US"/>
        </w:rPr>
        <w:t>imperiyasi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bosqichlaridagi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amalga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bir-biriga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moslashtiring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birinchi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bosqich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ikkinchi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bosqich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uchinchi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bosqich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d)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rtinchi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bosqich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xonligi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Buxoro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amirligiga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qarshi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istilochilik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harakatlari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amalga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oshirildi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Xiva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xonligi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yerlarining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bir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qismi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xonligining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yerlari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to‘liq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3)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Turkmanlar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ysundiriladi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4)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xonligining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shimoli-g‘arbiy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viloyatlari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Toshkent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shahri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istilo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Istilo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hududlarda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Orenburg general-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gubernatorligi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tarkibiga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kiruvchi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viloyati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5)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hududlarda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mustamlakachilik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siyosatining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liq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amalga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oshirilishida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boshqaruv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tartiblari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mustahkamlandi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0"/>
      </w:tblGrid>
      <w:tr>
        <w:trPr>
          <w:trHeight w:val="24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ind w:left="9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</w:t>
            </w:r>
          </w:p>
        </w:tc>
      </w:tr>
      <w:tr>
        <w:tblPrEx/>
        <w:trPr>
          <w:trHeight w:val="306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4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cs="Times New Roman" w:hAnsi="Times New Roman"/>
          <w:sz w:val="28"/>
          <w:szCs w:val="28"/>
          <w:lang w:val="en-US"/>
        </w:rPr>
        <w:t>Quyidagilarni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ma’lumotlar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moslashtiring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1)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mablag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‘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‘qligi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tufayli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o‘z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faoliyatini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to‘xtatdi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  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2) 1870-yili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Toshkentda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3) 72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kunlik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faoliyatidan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bolsheviklar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tomonidan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tugatildi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4)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tashabbusi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bilan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Toshkentda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meteorologiya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stansiyasi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ochildi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5)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sohadagi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ishlab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chiqarish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yerlarni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sug‘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orish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dehqonchilik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yerdan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foydalanish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borasidagi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ilg‘or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usullarni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targ‘ib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6)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faoliyatiga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Munavvarqori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Abdurashidxonov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rahbarlik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Muxtoriyati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b) 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Turkistonning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qishloq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jurnali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xalq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kutubxonasi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; 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d) 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rta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Osiyo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Olimlar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jamiyati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».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0"/>
      </w:tblGrid>
      <w:tr>
        <w:trPr>
          <w:trHeight w:val="24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ind w:left="9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</w:t>
            </w:r>
          </w:p>
        </w:tc>
      </w:tr>
      <w:tr>
        <w:tblPrEx/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  <w:lang w:val="en-US"/>
        </w:rPr>
        <w:t>Xorazmni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milliy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chegaralanishga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</w:t>
      </w:r>
      <w:r>
        <w:rPr>
          <w:rFonts w:ascii="Times New Roman" w:cs="Times New Roman" w:hAnsi="Times New Roman"/>
          <w:sz w:val="28"/>
          <w:szCs w:val="28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shmaslikni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iltimos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XXSR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rahbarlari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</w:t>
      </w:r>
      <w:r>
        <w:rPr>
          <w:rFonts w:ascii="Times New Roman" w:cs="Times New Roman" w:hAnsi="Times New Roman"/>
          <w:sz w:val="28"/>
          <w:szCs w:val="28"/>
        </w:rPr>
        <w:t>‘</w:t>
      </w:r>
      <w:r>
        <w:rPr>
          <w:rFonts w:ascii="Times New Roman" w:cs="Times New Roman" w:hAnsi="Times New Roman"/>
          <w:sz w:val="28"/>
          <w:szCs w:val="28"/>
          <w:lang w:val="en-US"/>
        </w:rPr>
        <w:t>rsatishadi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hAnsi="Times New Roman"/>
          <w:sz w:val="28"/>
          <w:szCs w:val="28"/>
          <w:lang w:val="en-US"/>
        </w:rPr>
        <w:t>hududning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iqtisodiy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qoloqligi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aholining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yordamga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muhtojligi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hAnsi="Times New Roman"/>
          <w:sz w:val="28"/>
          <w:szCs w:val="28"/>
          <w:lang w:val="en-US"/>
        </w:rPr>
        <w:t>etnik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tarkibi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xilma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xilligi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noroziliklar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ro‘</w:t>
      </w:r>
      <w:r>
        <w:rPr>
          <w:rFonts w:ascii="Times New Roman" w:cs="Times New Roman" w:hAnsi="Times New Roman"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berayotganligi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cs="Times New Roman" w:hAnsi="Times New Roman"/>
          <w:sz w:val="28"/>
          <w:szCs w:val="28"/>
          <w:lang w:val="en-US"/>
        </w:rPr>
        <w:t>hududning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qismi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cho‘</w:t>
      </w:r>
      <w:r>
        <w:rPr>
          <w:rFonts w:ascii="Times New Roman" w:cs="Times New Roman" w:hAnsi="Times New Roman"/>
          <w:sz w:val="28"/>
          <w:szCs w:val="28"/>
          <w:lang w:val="en-US"/>
        </w:rPr>
        <w:t>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iboratligi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amudaryoning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sersuvligi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cs="Times New Roman" w:hAnsi="Times New Roman"/>
          <w:sz w:val="28"/>
          <w:szCs w:val="28"/>
          <w:lang w:val="en-US"/>
        </w:rPr>
        <w:t>respublikaning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iqtisodiy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jihatdan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turganligi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6"/>
        <w:gridCol w:w="925"/>
        <w:gridCol w:w="926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spacing w:before="240"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</w:t>
      </w:r>
      <w:r>
        <w:rPr>
          <w:rFonts w:ascii="Times New Roman" w:cs="Times New Roman" w:eastAsia="Times New Roman" w:hAnsi="Times New Roman"/>
          <w:color w:val="000000"/>
          <w:kern w:val="0"/>
          <w:sz w:val="28"/>
          <w:szCs w:val="28"/>
          <w:lang w:val="en-US" w:eastAsia="ru-RU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Quyidagilardan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Sovet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qatag‘</w:t>
      </w:r>
      <w:r>
        <w:rPr>
          <w:rFonts w:ascii="Times New Roman" w:cs="Times New Roman" w:hAnsi="Times New Roman"/>
          <w:sz w:val="28"/>
          <w:szCs w:val="28"/>
          <w:lang w:val="en-US"/>
        </w:rPr>
        <w:t>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qurbonlariga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to‘g‘ri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ma’lumotlarni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before="240"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1)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kommunistik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partiya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saflarini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tozalash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kampaniyasi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  SSR </w:t>
      </w:r>
      <w:r>
        <w:rPr>
          <w:rFonts w:ascii="Times New Roman" w:cs="Times New Roman" w:hAnsi="Times New Roman"/>
          <w:sz w:val="28"/>
          <w:szCs w:val="28"/>
          <w:lang w:val="en-US"/>
        </w:rPr>
        <w:t>Oliy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sudining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raisi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Shamsutdin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Badriddinov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 </w:t>
      </w:r>
      <w:r>
        <w:rPr>
          <w:rFonts w:ascii="Times New Roman" w:cs="Times New Roman" w:hAnsi="Times New Roman"/>
          <w:sz w:val="28"/>
          <w:szCs w:val="28"/>
          <w:lang w:val="en-US"/>
        </w:rPr>
        <w:t>nafar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safdoshi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tashlandi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spacing w:before="240"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hAnsi="Times New Roman"/>
          <w:sz w:val="28"/>
          <w:szCs w:val="28"/>
          <w:lang w:val="en-US"/>
        </w:rPr>
        <w:t>Sa’dulla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Qosimov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bosmachilar»ni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llab-quvvatlashda</w:t>
      </w:r>
      <w:r>
        <w:rPr>
          <w:rFonts w:ascii="Times New Roman" w:cs="Times New Roman" w:hAnsi="Times New Roman"/>
          <w:sz w:val="28"/>
          <w:szCs w:val="28"/>
          <w:lang w:val="en-US"/>
        </w:rPr>
        <w:t>, «</w:t>
      </w:r>
      <w:r>
        <w:rPr>
          <w:rFonts w:ascii="Times New Roman" w:cs="Times New Roman" w:hAnsi="Times New Roman"/>
          <w:sz w:val="28"/>
          <w:szCs w:val="28"/>
          <w:lang w:val="en-US"/>
        </w:rPr>
        <w:t>aksilinqilobchi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millatchi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tashkilotlar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a’zolari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aloqa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bog‘laganlikda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ayblangan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spacing w:before="240"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cs="Times New Roman" w:hAnsi="Times New Roman"/>
          <w:sz w:val="28"/>
          <w:szCs w:val="28"/>
          <w:lang w:val="en-US"/>
        </w:rPr>
        <w:t>Munavvarqori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Abdurashidxonovga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Milliy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Ittihod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Milliy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Istiqlol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tashkilotlarining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a’zolari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yilgan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spacing w:before="240"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cs="Times New Roman" w:hAnsi="Times New Roman"/>
          <w:sz w:val="28"/>
          <w:szCs w:val="28"/>
          <w:lang w:val="en-US"/>
        </w:rPr>
        <w:t>Mahmudxo‘</w:t>
      </w:r>
      <w:r>
        <w:rPr>
          <w:rFonts w:ascii="Times New Roman" w:cs="Times New Roman" w:hAnsi="Times New Roman"/>
          <w:sz w:val="28"/>
          <w:szCs w:val="28"/>
          <w:lang w:val="en-US"/>
        </w:rPr>
        <w:t>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Behbudiy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boshchilik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15 </w:t>
      </w:r>
      <w:r>
        <w:rPr>
          <w:rFonts w:ascii="Times New Roman" w:cs="Times New Roman" w:hAnsi="Times New Roman"/>
          <w:sz w:val="28"/>
          <w:szCs w:val="28"/>
          <w:lang w:val="en-US"/>
        </w:rPr>
        <w:t>nafar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  </w:t>
      </w:r>
      <w:r>
        <w:rPr>
          <w:rFonts w:ascii="Times New Roman" w:cs="Times New Roman" w:hAnsi="Times New Roman"/>
          <w:sz w:val="28"/>
          <w:szCs w:val="28"/>
          <w:lang w:val="en-US"/>
        </w:rPr>
        <w:t>mustaqillik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fidoyisi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Moskva </w:t>
      </w:r>
      <w:r>
        <w:rPr>
          <w:rFonts w:ascii="Times New Roman" w:cs="Times New Roman" w:hAnsi="Times New Roman"/>
          <w:sz w:val="28"/>
          <w:szCs w:val="28"/>
          <w:lang w:val="en-US"/>
        </w:rPr>
        <w:t>atrofida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tashlandi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6"/>
        <w:gridCol w:w="925"/>
        <w:gridCol w:w="926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atamalarni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ta’riflar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g‘ri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moslashtiring</w:t>
      </w:r>
      <w:r>
        <w:rPr>
          <w:rFonts w:ascii="Times New Roman" w:cs="Times New Roman" w:hAnsi="Times New Roman"/>
          <w:sz w:val="28"/>
          <w:szCs w:val="28"/>
          <w:lang w:val="en-US"/>
        </w:rPr>
        <w:t>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7101"/>
      </w:tblGrid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a)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Bosmachilik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 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Bolsheviklar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Byuro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d)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Desyatina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ba’zi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muassasa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tashkilotda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rahbarlik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ishini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borish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maqsadida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saylanadigan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yoki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ta’sis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etiladigan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kollegial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organ;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metrik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sistema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qabul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etilgunga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qadar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Rossiyada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llangan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1,09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gektarga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teng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yer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maydoni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o‘lchovi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3)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Turkistonda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1918-1925-yillarda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keng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xalq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ommasi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vakillarining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bosqinchi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qizil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armiyaga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qarshi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olib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borgan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qurolli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harakatiga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hukumat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tomonidan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berilgan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nom;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4) Rossiya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sotsial-demokratik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ishchi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partiyasining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1903-yil II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syezdida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partiya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a’zolarining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pchiligi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asosida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topgan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guruhi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 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5)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Rossiyada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1905-yilda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topgan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konstitutsion-demokratik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partiya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deb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ataluvchi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partiyaning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a’zolari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   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0"/>
      </w:tblGrid>
      <w:tr>
        <w:trPr>
          <w:trHeight w:val="243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ind w:left="9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</w:t>
            </w:r>
          </w:p>
        </w:tc>
      </w:tr>
      <w:tr>
        <w:tblPrEx/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Respublikasida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1992-yil 8-dekabrda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maqsadda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mustaqillik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Konstitutsiyasi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qilindi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hAnsi="Times New Roman"/>
          <w:sz w:val="28"/>
          <w:szCs w:val="28"/>
          <w:lang w:val="en-US"/>
        </w:rPr>
        <w:t>davlat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ntarishini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hAnsi="Times New Roman"/>
          <w:sz w:val="28"/>
          <w:szCs w:val="28"/>
          <w:lang w:val="en-US"/>
        </w:rPr>
        <w:t>huquqiy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demokratik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davlatni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barpo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etish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cs="Times New Roman" w:hAnsi="Times New Roman"/>
          <w:sz w:val="28"/>
          <w:szCs w:val="28"/>
          <w:lang w:val="en-US"/>
        </w:rPr>
        <w:t>Mustaqillik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deklaratsiyasini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4) </w:t>
      </w:r>
      <w:r>
        <w:rPr>
          <w:rFonts w:ascii="Times New Roman" w:cs="Times New Roman" w:hAnsi="Times New Roman"/>
          <w:sz w:val="28"/>
          <w:szCs w:val="28"/>
          <w:lang w:val="en-US"/>
        </w:rPr>
        <w:t>inson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huquq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erkinliklarini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ta’minlash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5) </w:t>
      </w:r>
      <w:r>
        <w:rPr>
          <w:rFonts w:ascii="Times New Roman" w:cs="Times New Roman" w:hAnsi="Times New Roman"/>
          <w:sz w:val="28"/>
          <w:szCs w:val="28"/>
          <w:lang w:val="en-US"/>
        </w:rPr>
        <w:t>ikki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palatali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parlamentni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shakllantirish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6"/>
        <w:gridCol w:w="925"/>
        <w:gridCol w:w="926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7. </w:t>
      </w:r>
      <w:r>
        <w:rPr>
          <w:rFonts w:ascii="Times New Roman" w:cs="Times New Roman" w:hAnsi="Times New Roman"/>
          <w:sz w:val="28"/>
          <w:szCs w:val="28"/>
          <w:lang w:val="en-US"/>
        </w:rPr>
        <w:t>Quyidagi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voqealarning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g‘ri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366"/>
        <w:gridCol w:w="4386"/>
      </w:tblGrid>
      <w:tr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Voqea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Natija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zbekiston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Afg‘oniston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uchun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strategik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ahamiyatga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bo‘lgan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loyihani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amalga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oshirdi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Hayraton-Mozori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Sharif temir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lining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75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kilometri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qurildi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Davlat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mulkini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xususiylashtirish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yuzasidan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mamlakatimizda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katta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ko‘lamdagi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amaliy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ishlar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olib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borildi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ukladli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iqtisodiyot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mulkdorlar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sinfi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nisbatan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kamaydi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Mamlakatda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zamonaviy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transport-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kommunikatsiya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tizimi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shakllandi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zbekiston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havo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yo‘llari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milliy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aviakompaniyasi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  1992-yili 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O‘zbekiston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avtomobil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transportiga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qo‘shib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yuborildi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zbekiston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transport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transport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kommunikatsiyalari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uyushmasi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tashkil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etildi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zbekiston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temir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yo‘llari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davlat-aksiyadorlik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kompaniyasi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uyushma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tarkibiga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kiritildi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6"/>
        <w:gridCol w:w="925"/>
        <w:gridCol w:w="926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 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8. </w:t>
      </w:r>
      <w:r>
        <w:rPr>
          <w:rFonts w:ascii="Times New Roman" w:cs="Times New Roman" w:hAnsi="Times New Roman"/>
          <w:sz w:val="28"/>
          <w:szCs w:val="28"/>
          <w:lang w:val="en-US"/>
        </w:rPr>
        <w:t>Quyida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tizimidagi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islohotlarni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zaro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moslashtiring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0"/>
        <w:gridCol w:w="4164"/>
      </w:tblGrid>
      <w:tr>
        <w:trPr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1) 2017-yil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respublika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maktablaridagi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bitiruvchilarning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ota-onalari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rtasida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so‘rovnoma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o‘tkazildi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2) 1997-yili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Kadrlar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tayyorlash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milliy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dasturi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qabul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natijada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maktab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quvchilari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o‘rtasida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kitobxon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ko‘rik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tanlovi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joriy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lotin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alifbosiga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asoslangan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yozuv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joriy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ta’lim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tizimini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isloh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qilish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bo‘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yicha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uch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bosqichli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tizim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joriy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qilindi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;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d) 12-yillik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majburiy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ta’limdan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11-yillik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ta’limga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qaytildi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Javob</w:t>
      </w:r>
      <w:r>
        <w:rPr>
          <w:rFonts w:ascii="Times New Roman" w:cs="Times New Roman" w:hAnsi="Times New Roman"/>
          <w:sz w:val="28"/>
          <w:szCs w:val="28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41"/>
        <w:gridCol w:w="1530"/>
      </w:tblGrid>
      <w:tr>
        <w:trPr>
          <w:trHeight w:val="257" w:hRule="atLeast"/>
        </w:trPr>
        <w:tc>
          <w:tcPr>
            <w:tcW w:w="154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257" w:hRule="atLeast"/>
        </w:trPr>
        <w:tc>
          <w:tcPr>
            <w:tcW w:w="15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257" w:hRule="atLeast"/>
        </w:trPr>
        <w:tc>
          <w:tcPr>
            <w:tcW w:w="307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hAnsi="Times New Roman"/>
          <w:sz w:val="28"/>
          <w:szCs w:val="28"/>
        </w:rPr>
        <w:t>O‘zbekiston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BMTning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homiyligidagi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ta’lim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fan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madaniyat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shug‘ullanuvchi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qaysi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xalqaro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tashkilotiga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a’zo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bo‘lgan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MAAT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 YUNESKO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3) AYSESKO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4) YUNISEF</w:t>
      </w:r>
      <w:r>
        <w:rPr>
          <w:rFonts w:ascii="Times New Roman" w:cs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10.Shanxay </w:t>
      </w:r>
      <w:r>
        <w:rPr>
          <w:rFonts w:ascii="Times New Roman" w:cs="Times New Roman" w:hAnsi="Times New Roman"/>
          <w:sz w:val="28"/>
          <w:szCs w:val="28"/>
          <w:lang w:val="en-US"/>
        </w:rPr>
        <w:t>beshligi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sabab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hAnsi="Times New Roman"/>
          <w:sz w:val="28"/>
          <w:szCs w:val="28"/>
          <w:lang w:val="en-US"/>
        </w:rPr>
        <w:t>mintaqada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ijtimoiy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muammolarni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hAnsi="Times New Roman"/>
          <w:sz w:val="28"/>
          <w:szCs w:val="28"/>
          <w:lang w:val="en-US"/>
        </w:rPr>
        <w:t>xavfsizlik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chegara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hududlarida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zaro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ishonchni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mustahkamlash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3) </w:t>
      </w:r>
      <w:r>
        <w:rPr>
          <w:rFonts w:ascii="Times New Roman" w:cs="Times New Roman" w:hAnsi="Times New Roman"/>
          <w:sz w:val="28"/>
          <w:szCs w:val="28"/>
          <w:lang w:val="en-US"/>
        </w:rPr>
        <w:t>harbiy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blok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topgan</w:t>
      </w:r>
      <w:r>
        <w:rPr>
          <w:rFonts w:ascii="Times New Roman" w:cs="Times New Roman" w:hAnsi="Times New Roman"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4) MDH </w:t>
      </w:r>
      <w:r>
        <w:rPr>
          <w:rFonts w:ascii="Times New Roman" w:cs="Times New Roman" w:hAnsi="Times New Roman"/>
          <w:sz w:val="28"/>
          <w:szCs w:val="28"/>
          <w:lang w:val="en-US"/>
        </w:rPr>
        <w:t>davlatlarini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yagona </w:t>
      </w:r>
      <w:r>
        <w:rPr>
          <w:rFonts w:ascii="Times New Roman" w:cs="Times New Roman" w:hAnsi="Times New Roman"/>
          <w:sz w:val="28"/>
          <w:szCs w:val="28"/>
          <w:lang w:val="en-US"/>
        </w:rPr>
        <w:t>uyushmaga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birlashtirish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Jami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ball:_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Ko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mis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iya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raisi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Imtihon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oluvchi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:_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Assistent:_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_________________________________________________________</w:t>
      </w:r>
    </w:p>
    <w:sectPr>
      <w:headerReference w:type="default" r:id="rId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hAnsi="Times New Roman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4956175</wp:posOffset>
              </wp:positionH>
              <wp:positionV relativeFrom="paragraph">
                <wp:posOffset>15875</wp:posOffset>
              </wp:positionV>
              <wp:extent cx="548004" cy="1045844"/>
              <wp:effectExtent l="180658" t="0" r="262572" b="0"/>
              <wp:wrapNone/>
              <wp:docPr id="4097" name="Надпись 17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5480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90.25pt;margin-top:1.25pt;width:43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posOffset>3977640</wp:posOffset>
              </wp:positionH>
              <wp:positionV relativeFrom="page">
                <wp:posOffset>457200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1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313.2pt;margin-top:36.0pt;width:153.05pt;height:132.0pt;z-index:-2147483644;mso-position-horizontal-relative:margin;mso-position-vertical-relative:page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4E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A405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10">
    <w:name w:val="Default"/>
    <w:next w:val="style4110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kern w:val="0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1">
    <w:name w:val="Верхний колонтитул Знак"/>
    <w:basedOn w:val="style65"/>
    <w:next w:val="style4111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2">
    <w:name w:val="Нижний колонтитул Знак"/>
    <w:basedOn w:val="style65"/>
    <w:next w:val="style411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Words>682</Words>
  <Pages>7</Pages>
  <Characters>5336</Characters>
  <Application>WPS Office</Application>
  <DocSecurity>0</DocSecurity>
  <Paragraphs>307</Paragraphs>
  <ScaleCrop>false</ScaleCrop>
  <LinksUpToDate>false</LinksUpToDate>
  <CharactersWithSpaces>5993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2025-04-08T13:32:00Z</dcterms:created>
  <dc:creator>Markaz 01</dc:creator>
  <lastModifiedBy>2209116AG</lastModifiedBy>
  <lastPrinted>2025-04-09T05:58:00Z</lastPrinted>
  <dcterms:modified xsi:type="dcterms:W3CDTF">2025-06-03T14:47:59Z</dcterms:modified>
  <revision>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aef478714ba84663b8a0e4ec1f5fecf1</vt:lpwstr>
  </property>
</Properties>
</file>